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76F" w:rsidRPr="00F94241" w:rsidRDefault="00A3776F" w:rsidP="00341EC9">
      <w:pPr>
        <w:rPr>
          <w:b/>
          <w:sz w:val="24"/>
          <w:szCs w:val="24"/>
        </w:rPr>
      </w:pPr>
      <w:r w:rsidRPr="00F94241">
        <w:rPr>
          <w:b/>
          <w:sz w:val="24"/>
          <w:szCs w:val="24"/>
        </w:rPr>
        <w:t>Corrections to the Dark-bellied Brent Goose 2021 report</w:t>
      </w:r>
    </w:p>
    <w:p w:rsidR="00A3776F" w:rsidRPr="00341EC9" w:rsidRDefault="00A3776F" w:rsidP="00341EC9">
      <w:r w:rsidRPr="00341EC9">
        <w:t xml:space="preserve">An error was identified in the analysis of the 2020/21 Dark-bellied Brent Goose breeding success data. The error affected the results presented for mean brood size. </w:t>
      </w:r>
      <w:r w:rsidR="00831FF0" w:rsidRPr="00341EC9">
        <w:t>The analysis was redone in June 2022 and b</w:t>
      </w:r>
      <w:r w:rsidRPr="00341EC9">
        <w:t xml:space="preserve">elow are </w:t>
      </w:r>
      <w:r w:rsidR="00831FF0" w:rsidRPr="00341EC9">
        <w:t xml:space="preserve">the relevant </w:t>
      </w:r>
      <w:r w:rsidRPr="00341EC9">
        <w:t>sections from the 2021</w:t>
      </w:r>
      <w:r w:rsidR="00831FF0" w:rsidRPr="00341EC9">
        <w:t xml:space="preserve"> species account with the</w:t>
      </w:r>
      <w:r w:rsidRPr="00341EC9">
        <w:t xml:space="preserve"> corrected data highlighted.</w:t>
      </w:r>
    </w:p>
    <w:p w:rsidR="00581764" w:rsidRPr="00F94241" w:rsidRDefault="00581764" w:rsidP="00341EC9">
      <w:pPr>
        <w:rPr>
          <w:b/>
          <w:sz w:val="22"/>
          <w:szCs w:val="22"/>
        </w:rPr>
      </w:pPr>
      <w:r w:rsidRPr="00F94241">
        <w:rPr>
          <w:b/>
          <w:sz w:val="22"/>
          <w:szCs w:val="22"/>
        </w:rPr>
        <w:t>Results for 2020/21</w:t>
      </w:r>
    </w:p>
    <w:p w:rsidR="00A3776F" w:rsidRPr="00341EC9" w:rsidRDefault="00A3776F" w:rsidP="00341EC9">
      <w:r w:rsidRPr="00341EC9">
        <w:t xml:space="preserve">The overall percentage of young recorded amongst flocks was 9.1% and, of the 74 broods recorded, the mean brood size was </w:t>
      </w:r>
      <w:r w:rsidRPr="00341EC9">
        <w:rPr>
          <w:highlight w:val="yellow"/>
        </w:rPr>
        <w:t>1.79 (± 0.154 SE)</w:t>
      </w:r>
      <w:r w:rsidRPr="00341EC9">
        <w:t xml:space="preserve"> young per successful pair (Table 1 &amp; Figure 2).</w:t>
      </w:r>
    </w:p>
    <w:p w:rsidR="00A3776F" w:rsidRPr="00341EC9" w:rsidRDefault="00831FF0" w:rsidP="00341EC9">
      <w:r w:rsidRPr="00341EC9">
        <w:t xml:space="preserve">The mean brood size of successful pairs peaked at </w:t>
      </w:r>
      <w:r w:rsidR="00E76AE7" w:rsidRPr="00E76AE7">
        <w:rPr>
          <w:highlight w:val="yellow"/>
        </w:rPr>
        <w:t>2.12 (± 0.18</w:t>
      </w:r>
      <w:r w:rsidRPr="00E76AE7">
        <w:rPr>
          <w:highlight w:val="yellow"/>
        </w:rPr>
        <w:t xml:space="preserve"> SE) in </w:t>
      </w:r>
      <w:r w:rsidR="00E76AE7" w:rsidRPr="00E76AE7">
        <w:rPr>
          <w:highlight w:val="yellow"/>
        </w:rPr>
        <w:t>October and ranged between 1.48 (± 0.18 SE) and 1.86 (± 0.13</w:t>
      </w:r>
      <w:r w:rsidRPr="00E76AE7">
        <w:rPr>
          <w:highlight w:val="yellow"/>
        </w:rPr>
        <w:t xml:space="preserve"> SE) during the other months.</w:t>
      </w:r>
    </w:p>
    <w:p w:rsidR="00581764" w:rsidRPr="00341EC9" w:rsidRDefault="00581764" w:rsidP="00341EC9">
      <w:r w:rsidRPr="00341EC9">
        <w:t>Table 1. Numbers of Dark-bellied Brent Geese aged at UK estuaries and coastal areas in winter 2019/20.</w:t>
      </w: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17"/>
        <w:gridCol w:w="1287"/>
        <w:gridCol w:w="1117"/>
        <w:gridCol w:w="1117"/>
        <w:gridCol w:w="897"/>
        <w:gridCol w:w="897"/>
        <w:gridCol w:w="767"/>
        <w:gridCol w:w="1187"/>
        <w:gridCol w:w="726"/>
        <w:gridCol w:w="567"/>
        <w:gridCol w:w="1020"/>
      </w:tblGrid>
      <w:tr w:rsidR="00BD34FB" w:rsidRPr="00341EC9" w:rsidTr="00BD34FB">
        <w:trPr>
          <w:trHeight w:val="290"/>
        </w:trPr>
        <w:tc>
          <w:tcPr>
            <w:tcW w:w="417" w:type="dxa"/>
            <w:vMerge w:val="restart"/>
            <w:shd w:val="clear" w:color="auto" w:fill="auto"/>
            <w:noWrap/>
            <w:vAlign w:val="center"/>
          </w:tcPr>
          <w:p w:rsidR="00BD34FB" w:rsidRPr="00BD34FB" w:rsidRDefault="00BD34FB" w:rsidP="00341EC9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ID</w:t>
            </w:r>
          </w:p>
        </w:tc>
        <w:tc>
          <w:tcPr>
            <w:tcW w:w="1287" w:type="dxa"/>
            <w:vMerge w:val="restart"/>
            <w:shd w:val="clear" w:color="auto" w:fill="auto"/>
            <w:noWrap/>
            <w:vAlign w:val="center"/>
          </w:tcPr>
          <w:p w:rsidR="00BD34FB" w:rsidRPr="00BD34FB" w:rsidRDefault="00BD34FB" w:rsidP="00341EC9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Estuary</w:t>
            </w:r>
          </w:p>
        </w:tc>
        <w:tc>
          <w:tcPr>
            <w:tcW w:w="3115" w:type="dxa"/>
            <w:gridSpan w:val="3"/>
            <w:shd w:val="clear" w:color="auto" w:fill="auto"/>
            <w:noWrap/>
            <w:vAlign w:val="center"/>
          </w:tcPr>
          <w:p w:rsidR="00BD34FB" w:rsidRPr="00BD34FB" w:rsidRDefault="00BD34FB" w:rsidP="00341EC9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Sample flocks</w:t>
            </w:r>
          </w:p>
        </w:tc>
        <w:tc>
          <w:tcPr>
            <w:tcW w:w="872" w:type="dxa"/>
            <w:vMerge w:val="restart"/>
            <w:shd w:val="clear" w:color="auto" w:fill="auto"/>
            <w:noWrap/>
            <w:vAlign w:val="center"/>
          </w:tcPr>
          <w:p w:rsidR="00BD34FB" w:rsidRPr="00BD34FB" w:rsidRDefault="00BD34FB" w:rsidP="00341EC9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Number of sites</w:t>
            </w:r>
          </w:p>
        </w:tc>
        <w:tc>
          <w:tcPr>
            <w:tcW w:w="767" w:type="dxa"/>
            <w:vMerge w:val="restart"/>
            <w:shd w:val="clear" w:color="auto" w:fill="auto"/>
            <w:noWrap/>
            <w:vAlign w:val="center"/>
          </w:tcPr>
          <w:p w:rsidR="00BD34FB" w:rsidRPr="00BD34FB" w:rsidRDefault="00BD34FB" w:rsidP="00341EC9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Total aged</w:t>
            </w:r>
          </w:p>
        </w:tc>
        <w:tc>
          <w:tcPr>
            <w:tcW w:w="1152" w:type="dxa"/>
            <w:vMerge w:val="restart"/>
            <w:shd w:val="clear" w:color="auto" w:fill="auto"/>
            <w:noWrap/>
            <w:vAlign w:val="center"/>
          </w:tcPr>
          <w:p w:rsidR="00BD34FB" w:rsidRPr="00BD34FB" w:rsidRDefault="00BD34FB" w:rsidP="00341EC9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Percentage of young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</w:tcPr>
          <w:p w:rsidR="00BD34FB" w:rsidRPr="00BD34FB" w:rsidRDefault="00BD34FB" w:rsidP="00341EC9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Mean brood size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</w:tcPr>
          <w:p w:rsidR="00BD34FB" w:rsidRPr="00BD34FB" w:rsidRDefault="00BD34FB" w:rsidP="00341EC9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SE</w:t>
            </w:r>
          </w:p>
        </w:tc>
        <w:tc>
          <w:tcPr>
            <w:tcW w:w="1020" w:type="dxa"/>
            <w:vMerge w:val="restart"/>
            <w:shd w:val="clear" w:color="auto" w:fill="auto"/>
            <w:noWrap/>
            <w:vAlign w:val="center"/>
          </w:tcPr>
          <w:p w:rsidR="00BD34FB" w:rsidRPr="00BD34FB" w:rsidRDefault="00BD34FB" w:rsidP="00341EC9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Number of  broods</w:t>
            </w:r>
          </w:p>
        </w:tc>
      </w:tr>
      <w:tr w:rsidR="00BD34FB" w:rsidRPr="00341EC9" w:rsidTr="00BD34FB">
        <w:trPr>
          <w:trHeight w:val="290"/>
        </w:trPr>
        <w:tc>
          <w:tcPr>
            <w:tcW w:w="417" w:type="dxa"/>
            <w:vMerge/>
            <w:shd w:val="clear" w:color="auto" w:fill="auto"/>
            <w:noWrap/>
            <w:vAlign w:val="center"/>
            <w:hideMark/>
          </w:tcPr>
          <w:p w:rsidR="00BD34FB" w:rsidRPr="00341EC9" w:rsidRDefault="00BD34FB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287" w:type="dxa"/>
            <w:vMerge/>
            <w:shd w:val="clear" w:color="auto" w:fill="auto"/>
            <w:noWrap/>
            <w:vAlign w:val="center"/>
            <w:hideMark/>
          </w:tcPr>
          <w:p w:rsidR="00BD34FB" w:rsidRPr="00341EC9" w:rsidRDefault="00BD34FB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BD34FB" w:rsidRPr="00BD34FB" w:rsidRDefault="00BD34FB" w:rsidP="00341EC9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First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BD34FB" w:rsidRPr="00BD34FB" w:rsidRDefault="00BD34FB" w:rsidP="00341EC9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Last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BD34FB" w:rsidRPr="00BD34FB" w:rsidRDefault="00BD34FB" w:rsidP="00341EC9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Number of flocks</w:t>
            </w:r>
          </w:p>
        </w:tc>
        <w:tc>
          <w:tcPr>
            <w:tcW w:w="872" w:type="dxa"/>
            <w:vMerge/>
            <w:shd w:val="clear" w:color="auto" w:fill="auto"/>
            <w:noWrap/>
            <w:vAlign w:val="center"/>
            <w:hideMark/>
          </w:tcPr>
          <w:p w:rsidR="00BD34FB" w:rsidRPr="00341EC9" w:rsidRDefault="00BD34FB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767" w:type="dxa"/>
            <w:vMerge/>
            <w:shd w:val="clear" w:color="auto" w:fill="auto"/>
            <w:noWrap/>
            <w:vAlign w:val="center"/>
            <w:hideMark/>
          </w:tcPr>
          <w:p w:rsidR="00BD34FB" w:rsidRPr="00341EC9" w:rsidRDefault="00BD34FB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152" w:type="dxa"/>
            <w:vMerge/>
            <w:shd w:val="clear" w:color="auto" w:fill="auto"/>
            <w:noWrap/>
            <w:vAlign w:val="center"/>
            <w:hideMark/>
          </w:tcPr>
          <w:p w:rsidR="00BD34FB" w:rsidRPr="00341EC9" w:rsidRDefault="00BD34FB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  <w:vAlign w:val="center"/>
            <w:hideMark/>
          </w:tcPr>
          <w:p w:rsidR="00BD34FB" w:rsidRPr="00341EC9" w:rsidRDefault="00BD34FB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  <w:vAlign w:val="center"/>
            <w:hideMark/>
          </w:tcPr>
          <w:p w:rsidR="00BD34FB" w:rsidRPr="00341EC9" w:rsidRDefault="00BD34FB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020" w:type="dxa"/>
            <w:vMerge/>
            <w:shd w:val="clear" w:color="auto" w:fill="auto"/>
            <w:noWrap/>
            <w:vAlign w:val="center"/>
            <w:hideMark/>
          </w:tcPr>
          <w:p w:rsidR="00BD34FB" w:rsidRPr="00341EC9" w:rsidRDefault="00BD34FB" w:rsidP="00341EC9">
            <w:pPr>
              <w:rPr>
                <w:sz w:val="18"/>
                <w:szCs w:val="18"/>
                <w:lang w:eastAsia="en-GB"/>
              </w:rPr>
            </w:pPr>
          </w:p>
        </w:tc>
      </w:tr>
      <w:tr w:rsidR="00DE2856" w:rsidRPr="00341EC9" w:rsidTr="00BD34FB">
        <w:trPr>
          <w:trHeight w:val="280"/>
        </w:trPr>
        <w:tc>
          <w:tcPr>
            <w:tcW w:w="4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8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The Solent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10/12/2020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10/12/2020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7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30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40.0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</w:tr>
      <w:tr w:rsidR="00DE2856" w:rsidRPr="00341EC9" w:rsidTr="00BD34FB">
        <w:trPr>
          <w:trHeight w:val="280"/>
        </w:trPr>
        <w:tc>
          <w:tcPr>
            <w:tcW w:w="4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8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Southampton Water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03/11/2020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01/02/2021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23</w:t>
            </w:r>
          </w:p>
        </w:tc>
        <w:tc>
          <w:tcPr>
            <w:tcW w:w="87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23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3</w:t>
            </w:r>
            <w:r w:rsidR="00831FF0" w:rsidRPr="00341EC9">
              <w:rPr>
                <w:sz w:val="18"/>
                <w:szCs w:val="18"/>
                <w:lang w:eastAsia="en-GB"/>
              </w:rPr>
              <w:t>,</w:t>
            </w:r>
            <w:r w:rsidRPr="00341EC9">
              <w:rPr>
                <w:sz w:val="18"/>
                <w:szCs w:val="18"/>
                <w:lang w:eastAsia="en-GB"/>
              </w:rPr>
              <w:t>728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9.9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</w:tr>
      <w:tr w:rsidR="00DE2856" w:rsidRPr="00341EC9" w:rsidTr="00BD34FB">
        <w:trPr>
          <w:trHeight w:val="280"/>
        </w:trPr>
        <w:tc>
          <w:tcPr>
            <w:tcW w:w="4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8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Portsmouth Harbour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10/11/2020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22/11/2020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</w:t>
            </w:r>
          </w:p>
        </w:tc>
        <w:tc>
          <w:tcPr>
            <w:tcW w:w="87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235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6.0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</w:tr>
      <w:tr w:rsidR="00DE2856" w:rsidRPr="00341EC9" w:rsidTr="00BD34FB">
        <w:trPr>
          <w:trHeight w:val="280"/>
        </w:trPr>
        <w:tc>
          <w:tcPr>
            <w:tcW w:w="4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8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proofErr w:type="spellStart"/>
            <w:r w:rsidRPr="00341EC9">
              <w:rPr>
                <w:sz w:val="18"/>
                <w:szCs w:val="18"/>
                <w:lang w:eastAsia="en-GB"/>
              </w:rPr>
              <w:t>Langstone</w:t>
            </w:r>
            <w:proofErr w:type="spellEnd"/>
            <w:r w:rsidRPr="00341EC9">
              <w:rPr>
                <w:sz w:val="18"/>
                <w:szCs w:val="18"/>
                <w:lang w:eastAsia="en-GB"/>
              </w:rPr>
              <w:t xml:space="preserve"> Harbour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17/10/2020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23/02/2021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87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25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6</w:t>
            </w:r>
            <w:r w:rsidR="00831FF0" w:rsidRPr="00341EC9">
              <w:rPr>
                <w:sz w:val="18"/>
                <w:szCs w:val="18"/>
                <w:lang w:eastAsia="en-GB"/>
              </w:rPr>
              <w:t>,</w:t>
            </w:r>
            <w:r w:rsidRPr="00341EC9">
              <w:rPr>
                <w:sz w:val="18"/>
                <w:szCs w:val="18"/>
                <w:lang w:eastAsia="en-GB"/>
              </w:rPr>
              <w:t>427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8.9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</w:tr>
      <w:tr w:rsidR="00DE2856" w:rsidRPr="00341EC9" w:rsidTr="00BD34FB">
        <w:trPr>
          <w:trHeight w:val="280"/>
        </w:trPr>
        <w:tc>
          <w:tcPr>
            <w:tcW w:w="4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8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Chichester Harbour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13/10/2020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20/01/2021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87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</w:t>
            </w:r>
            <w:r w:rsidR="00831FF0" w:rsidRPr="00341EC9">
              <w:rPr>
                <w:sz w:val="18"/>
                <w:szCs w:val="18"/>
                <w:lang w:eastAsia="en-GB"/>
              </w:rPr>
              <w:t>,</w:t>
            </w:r>
            <w:r w:rsidRPr="00341EC9">
              <w:rPr>
                <w:sz w:val="18"/>
                <w:szCs w:val="18"/>
                <w:lang w:eastAsia="en-GB"/>
              </w:rPr>
              <w:t>913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7.3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</w:tr>
      <w:tr w:rsidR="00DE2856" w:rsidRPr="00341EC9" w:rsidTr="00E76AE7">
        <w:trPr>
          <w:trHeight w:val="534"/>
        </w:trPr>
        <w:tc>
          <w:tcPr>
            <w:tcW w:w="4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8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Blackwater Estuary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30/11/2020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30/11/2020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7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100.0</w:t>
            </w: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  <w:tc>
          <w:tcPr>
            <w:tcW w:w="102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</w:p>
        </w:tc>
      </w:tr>
      <w:tr w:rsidR="00DE2856" w:rsidRPr="00341EC9" w:rsidTr="00E76AE7">
        <w:trPr>
          <w:trHeight w:val="280"/>
        </w:trPr>
        <w:tc>
          <w:tcPr>
            <w:tcW w:w="4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8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Stour Estuary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24/11/2020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29/11/2020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3</w:t>
            </w:r>
          </w:p>
        </w:tc>
        <w:tc>
          <w:tcPr>
            <w:tcW w:w="87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3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580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13.1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7445A6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7445A6">
              <w:rPr>
                <w:sz w:val="18"/>
                <w:szCs w:val="18"/>
                <w:lang w:eastAsia="en-GB"/>
              </w:rPr>
              <w:t>1.50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7445A6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7445A6">
              <w:rPr>
                <w:sz w:val="18"/>
                <w:szCs w:val="18"/>
                <w:lang w:eastAsia="en-GB"/>
              </w:rPr>
              <w:t>0.05</w:t>
            </w: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00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4</w:t>
            </w:r>
          </w:p>
        </w:tc>
      </w:tr>
      <w:tr w:rsidR="00DE2856" w:rsidRPr="00341EC9" w:rsidTr="00E76AE7">
        <w:trPr>
          <w:trHeight w:val="280"/>
        </w:trPr>
        <w:tc>
          <w:tcPr>
            <w:tcW w:w="4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8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proofErr w:type="spellStart"/>
            <w:r w:rsidRPr="00341EC9">
              <w:rPr>
                <w:sz w:val="18"/>
                <w:szCs w:val="18"/>
                <w:lang w:eastAsia="en-GB"/>
              </w:rPr>
              <w:t>Hamford</w:t>
            </w:r>
            <w:proofErr w:type="spellEnd"/>
            <w:r w:rsidRPr="00341EC9">
              <w:rPr>
                <w:sz w:val="18"/>
                <w:szCs w:val="18"/>
                <w:lang w:eastAsia="en-GB"/>
              </w:rPr>
              <w:t xml:space="preserve"> Water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30/10/2020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29/01/2021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7</w:t>
            </w:r>
          </w:p>
        </w:tc>
        <w:tc>
          <w:tcPr>
            <w:tcW w:w="87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7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322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23.0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3.83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0.47</w:t>
            </w: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00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6</w:t>
            </w:r>
          </w:p>
        </w:tc>
      </w:tr>
      <w:tr w:rsidR="00DE2856" w:rsidRPr="00341EC9" w:rsidTr="00E76AE7">
        <w:trPr>
          <w:trHeight w:val="280"/>
        </w:trPr>
        <w:tc>
          <w:tcPr>
            <w:tcW w:w="4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8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 xml:space="preserve">North Norfolk Coast 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16/10/2020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16/02/2020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87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3</w:t>
            </w:r>
            <w:r w:rsidR="00831FF0" w:rsidRPr="00341EC9">
              <w:rPr>
                <w:sz w:val="18"/>
                <w:szCs w:val="18"/>
                <w:lang w:eastAsia="en-GB"/>
              </w:rPr>
              <w:t>,</w:t>
            </w:r>
            <w:r w:rsidRPr="00341EC9">
              <w:rPr>
                <w:sz w:val="18"/>
                <w:szCs w:val="18"/>
                <w:lang w:eastAsia="en-GB"/>
              </w:rPr>
              <w:t>681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9.4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1.75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0.07</w:t>
            </w: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00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165</w:t>
            </w:r>
          </w:p>
        </w:tc>
      </w:tr>
      <w:tr w:rsidR="00DE2856" w:rsidRPr="00341EC9" w:rsidTr="00E76AE7">
        <w:trPr>
          <w:trHeight w:val="562"/>
        </w:trPr>
        <w:tc>
          <w:tcPr>
            <w:tcW w:w="41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87" w:type="dxa"/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North Lincolnshire Coast</w:t>
            </w:r>
          </w:p>
        </w:tc>
        <w:tc>
          <w:tcPr>
            <w:tcW w:w="1117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17/10/2020</w:t>
            </w:r>
          </w:p>
        </w:tc>
        <w:tc>
          <w:tcPr>
            <w:tcW w:w="1117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21/02/2021</w:t>
            </w:r>
          </w:p>
        </w:tc>
        <w:tc>
          <w:tcPr>
            <w:tcW w:w="881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87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767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2</w:t>
            </w:r>
            <w:r w:rsidR="00831FF0" w:rsidRPr="00341EC9">
              <w:rPr>
                <w:sz w:val="18"/>
                <w:szCs w:val="18"/>
                <w:lang w:eastAsia="en-GB"/>
              </w:rPr>
              <w:t>,</w:t>
            </w:r>
            <w:r w:rsidRPr="00341EC9">
              <w:rPr>
                <w:sz w:val="18"/>
                <w:szCs w:val="18"/>
                <w:lang w:eastAsia="en-GB"/>
              </w:rPr>
              <w:t>907</w:t>
            </w:r>
          </w:p>
        </w:tc>
        <w:tc>
          <w:tcPr>
            <w:tcW w:w="115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7.3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1.72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0.11</w:t>
            </w: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00"/>
            <w:noWrap/>
            <w:vAlign w:val="center"/>
            <w:hideMark/>
          </w:tcPr>
          <w:p w:rsidR="00581764" w:rsidRPr="00341EC9" w:rsidRDefault="00581764" w:rsidP="00341EC9">
            <w:pPr>
              <w:rPr>
                <w:sz w:val="18"/>
                <w:szCs w:val="18"/>
                <w:lang w:eastAsia="en-GB"/>
              </w:rPr>
            </w:pPr>
            <w:r w:rsidRPr="00341EC9">
              <w:rPr>
                <w:sz w:val="18"/>
                <w:szCs w:val="18"/>
                <w:lang w:eastAsia="en-GB"/>
              </w:rPr>
              <w:t>46</w:t>
            </w:r>
          </w:p>
        </w:tc>
      </w:tr>
      <w:tr w:rsidR="00842BA5" w:rsidRPr="00341EC9" w:rsidTr="00BD34FB">
        <w:trPr>
          <w:trHeight w:val="280"/>
        </w:trPr>
        <w:tc>
          <w:tcPr>
            <w:tcW w:w="1704" w:type="dxa"/>
            <w:gridSpan w:val="2"/>
            <w:shd w:val="clear" w:color="auto" w:fill="auto"/>
            <w:noWrap/>
            <w:vAlign w:val="center"/>
            <w:hideMark/>
          </w:tcPr>
          <w:p w:rsidR="00581764" w:rsidRPr="00BD34FB" w:rsidRDefault="00581764" w:rsidP="00BD34FB">
            <w:pPr>
              <w:rPr>
                <w:b/>
                <w:bCs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Total</w:t>
            </w:r>
          </w:p>
        </w:tc>
        <w:tc>
          <w:tcPr>
            <w:tcW w:w="111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764" w:rsidRPr="00BD34FB" w:rsidRDefault="00581764" w:rsidP="00BD34FB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13/10/2020</w:t>
            </w:r>
          </w:p>
        </w:tc>
        <w:tc>
          <w:tcPr>
            <w:tcW w:w="111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764" w:rsidRPr="00BD34FB" w:rsidRDefault="00581764" w:rsidP="00BD34FB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23/02/2021</w:t>
            </w:r>
          </w:p>
        </w:tc>
        <w:tc>
          <w:tcPr>
            <w:tcW w:w="881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764" w:rsidRPr="00BD34FB" w:rsidRDefault="00581764" w:rsidP="00BD34FB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87</w:t>
            </w:r>
          </w:p>
        </w:tc>
        <w:tc>
          <w:tcPr>
            <w:tcW w:w="87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764" w:rsidRPr="00BD34FB" w:rsidRDefault="00581764" w:rsidP="00BD34FB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100</w:t>
            </w:r>
          </w:p>
        </w:tc>
        <w:tc>
          <w:tcPr>
            <w:tcW w:w="76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764" w:rsidRPr="00BD34FB" w:rsidRDefault="00581764" w:rsidP="00BD34FB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20,827</w:t>
            </w:r>
          </w:p>
        </w:tc>
        <w:tc>
          <w:tcPr>
            <w:tcW w:w="115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764" w:rsidRPr="00BD34FB" w:rsidRDefault="00581764" w:rsidP="00BD34FB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9.1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581764" w:rsidRPr="00BD34FB" w:rsidRDefault="00581764" w:rsidP="00BD34FB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1.79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581764" w:rsidRPr="00BD34FB" w:rsidRDefault="00BD34FB" w:rsidP="00BD34FB">
            <w:pPr>
              <w:rPr>
                <w:b/>
                <w:sz w:val="18"/>
                <w:szCs w:val="18"/>
                <w:lang w:eastAsia="en-GB"/>
              </w:rPr>
            </w:pPr>
            <w:r>
              <w:rPr>
                <w:b/>
                <w:sz w:val="18"/>
                <w:szCs w:val="18"/>
                <w:lang w:eastAsia="en-GB"/>
              </w:rPr>
              <w:t>0.07</w:t>
            </w:r>
          </w:p>
        </w:tc>
        <w:tc>
          <w:tcPr>
            <w:tcW w:w="1020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581764" w:rsidRPr="00BD34FB" w:rsidRDefault="00581764" w:rsidP="00BD34FB">
            <w:pPr>
              <w:rPr>
                <w:b/>
                <w:sz w:val="18"/>
                <w:szCs w:val="18"/>
                <w:lang w:eastAsia="en-GB"/>
              </w:rPr>
            </w:pPr>
            <w:r w:rsidRPr="00BD34FB">
              <w:rPr>
                <w:b/>
                <w:sz w:val="18"/>
                <w:szCs w:val="18"/>
                <w:lang w:eastAsia="en-GB"/>
              </w:rPr>
              <w:t>221</w:t>
            </w:r>
          </w:p>
        </w:tc>
      </w:tr>
    </w:tbl>
    <w:p w:rsidR="00581764" w:rsidRDefault="00581764" w:rsidP="00341EC9"/>
    <w:p w:rsidR="00BD34FB" w:rsidRDefault="00BD34FB" w:rsidP="00341EC9"/>
    <w:p w:rsidR="00BD34FB" w:rsidRDefault="00BD34FB" w:rsidP="00341EC9"/>
    <w:p w:rsidR="00BD34FB" w:rsidRDefault="00BD34FB" w:rsidP="00341EC9"/>
    <w:p w:rsidR="00BD34FB" w:rsidRDefault="00BD34FB" w:rsidP="00341EC9"/>
    <w:p w:rsidR="00BD34FB" w:rsidRDefault="00BD34FB" w:rsidP="00341EC9"/>
    <w:p w:rsidR="00BD34FB" w:rsidRDefault="00BD34FB" w:rsidP="00341EC9"/>
    <w:p w:rsidR="00BD34FB" w:rsidRDefault="00BD34FB" w:rsidP="00341EC9"/>
    <w:p w:rsidR="006251C2" w:rsidRDefault="006251C2" w:rsidP="00341EC9"/>
    <w:p w:rsidR="006251C2" w:rsidRDefault="006251C2" w:rsidP="006251C2">
      <w:r>
        <w:rPr>
          <w:noProof/>
          <w:lang w:eastAsia="en-GB"/>
        </w:rPr>
        <w:drawing>
          <wp:inline distT="0" distB="0" distL="0" distR="0" wp14:anchorId="54EFDA7E" wp14:editId="109DE4A0">
            <wp:extent cx="4049996" cy="2535808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473" cy="25480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51C2" w:rsidRPr="00581764" w:rsidRDefault="006251C2" w:rsidP="006251C2">
      <w:r w:rsidRPr="00045E0A">
        <w:t>Figure 2. The percentage of young (blue columns) and mean brood size (red circles) of Dark-bellied Brent Geese recorded in Britain, 1985/86–2020/21. No brood size data were collected in 1985/86 or 1989/90.</w:t>
      </w:r>
    </w:p>
    <w:p w:rsidR="00831FF0" w:rsidRPr="00341EC9" w:rsidRDefault="00831FF0" w:rsidP="00341EC9">
      <w:r w:rsidRPr="00341EC9">
        <w:t>Table 2. Monthly variation in the percentage of young and mean brood size of Dark-bellied Brent Geese in the UK during winter 2020/21.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20"/>
        <w:gridCol w:w="1552"/>
        <w:gridCol w:w="1130"/>
        <w:gridCol w:w="1291"/>
        <w:gridCol w:w="995"/>
        <w:gridCol w:w="850"/>
        <w:gridCol w:w="1134"/>
      </w:tblGrid>
      <w:tr w:rsidR="00BD34FB" w:rsidRPr="00E424D4" w:rsidTr="00BD34FB">
        <w:trPr>
          <w:trHeight w:val="280"/>
        </w:trPr>
        <w:tc>
          <w:tcPr>
            <w:tcW w:w="1120" w:type="dxa"/>
            <w:shd w:val="clear" w:color="auto" w:fill="auto"/>
            <w:noWrap/>
            <w:vAlign w:val="center"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973" w:type="dxa"/>
            <w:gridSpan w:val="3"/>
            <w:shd w:val="clear" w:color="auto" w:fill="auto"/>
            <w:noWrap/>
            <w:vAlign w:val="center"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Percentage young</w:t>
            </w:r>
          </w:p>
        </w:tc>
        <w:tc>
          <w:tcPr>
            <w:tcW w:w="2979" w:type="dxa"/>
            <w:gridSpan w:val="3"/>
            <w:shd w:val="clear" w:color="auto" w:fill="auto"/>
            <w:noWrap/>
            <w:vAlign w:val="center"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Mean brood size</w:t>
            </w:r>
          </w:p>
        </w:tc>
      </w:tr>
      <w:tr w:rsidR="00E424D4" w:rsidRPr="00E424D4" w:rsidTr="00BD34FB">
        <w:trPr>
          <w:trHeight w:val="28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Month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Overall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E424D4" w:rsidRPr="00E424D4" w:rsidRDefault="00BD34FB" w:rsidP="00BD34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Number of flocks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Tot aged</w:t>
            </w:r>
          </w:p>
        </w:tc>
        <w:tc>
          <w:tcPr>
            <w:tcW w:w="995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Mean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24D4" w:rsidRPr="00E424D4" w:rsidRDefault="00BD34FB" w:rsidP="00BD34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SE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24D4" w:rsidRPr="00E424D4" w:rsidRDefault="00BD34FB" w:rsidP="00BD34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Number of </w:t>
            </w:r>
            <w:r w:rsidR="00E424D4" w:rsidRPr="00E424D4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broods</w:t>
            </w:r>
          </w:p>
        </w:tc>
      </w:tr>
      <w:tr w:rsidR="00BD34FB" w:rsidRPr="00E424D4" w:rsidTr="00BD34FB">
        <w:trPr>
          <w:trHeight w:val="28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Oct</w:t>
            </w:r>
            <w:r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ober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8.0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1</w:t>
            </w:r>
            <w:r w:rsidR="00560FCE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,</w:t>
            </w: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440</w:t>
            </w:r>
          </w:p>
        </w:tc>
        <w:tc>
          <w:tcPr>
            <w:tcW w:w="995" w:type="dxa"/>
            <w:shd w:val="clear" w:color="auto" w:fill="FFFF00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2.12</w:t>
            </w:r>
          </w:p>
        </w:tc>
        <w:tc>
          <w:tcPr>
            <w:tcW w:w="850" w:type="dxa"/>
            <w:shd w:val="clear" w:color="auto" w:fill="FFFF00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0.18</w:t>
            </w:r>
          </w:p>
        </w:tc>
        <w:tc>
          <w:tcPr>
            <w:tcW w:w="1134" w:type="dxa"/>
            <w:shd w:val="clear" w:color="auto" w:fill="FFFF00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33</w:t>
            </w:r>
          </w:p>
        </w:tc>
      </w:tr>
      <w:tr w:rsidR="00BD34FB" w:rsidRPr="00E424D4" w:rsidTr="00BD34FB">
        <w:trPr>
          <w:trHeight w:val="28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Nov</w:t>
            </w:r>
            <w:r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ember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10.7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30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5</w:t>
            </w:r>
            <w:r w:rsidR="00560FCE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,</w:t>
            </w: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556</w:t>
            </w:r>
          </w:p>
        </w:tc>
        <w:tc>
          <w:tcPr>
            <w:tcW w:w="995" w:type="dxa"/>
            <w:shd w:val="clear" w:color="auto" w:fill="FFFF00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1.86</w:t>
            </w:r>
          </w:p>
        </w:tc>
        <w:tc>
          <w:tcPr>
            <w:tcW w:w="850" w:type="dxa"/>
            <w:shd w:val="clear" w:color="auto" w:fill="FFFF00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0.13</w:t>
            </w:r>
          </w:p>
        </w:tc>
        <w:tc>
          <w:tcPr>
            <w:tcW w:w="1134" w:type="dxa"/>
            <w:shd w:val="clear" w:color="auto" w:fill="FFFF00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69</w:t>
            </w:r>
          </w:p>
        </w:tc>
      </w:tr>
      <w:tr w:rsidR="00BD34FB" w:rsidRPr="00E424D4" w:rsidTr="00BD34FB">
        <w:trPr>
          <w:trHeight w:val="28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Dec</w:t>
            </w:r>
            <w:r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ember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9.6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5</w:t>
            </w:r>
            <w:r w:rsidR="00560FCE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,</w:t>
            </w: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095</w:t>
            </w:r>
          </w:p>
        </w:tc>
        <w:tc>
          <w:tcPr>
            <w:tcW w:w="995" w:type="dxa"/>
            <w:shd w:val="clear" w:color="auto" w:fill="FFFF00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1.71</w:t>
            </w:r>
          </w:p>
        </w:tc>
        <w:tc>
          <w:tcPr>
            <w:tcW w:w="850" w:type="dxa"/>
            <w:shd w:val="clear" w:color="auto" w:fill="FFFF00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0.09</w:t>
            </w:r>
          </w:p>
        </w:tc>
        <w:tc>
          <w:tcPr>
            <w:tcW w:w="1134" w:type="dxa"/>
            <w:shd w:val="clear" w:color="auto" w:fill="FFFF00"/>
            <w:noWrap/>
            <w:vAlign w:val="center"/>
            <w:hideMark/>
          </w:tcPr>
          <w:p w:rsidR="00BD34FB" w:rsidRPr="00E424D4" w:rsidRDefault="00BD34FB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77</w:t>
            </w:r>
          </w:p>
        </w:tc>
      </w:tr>
      <w:tr w:rsidR="00E424D4" w:rsidRPr="00E424D4" w:rsidTr="00BD34FB">
        <w:trPr>
          <w:trHeight w:val="28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Jan</w:t>
            </w:r>
            <w:r w:rsidR="00BD34FB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uary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7.4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5</w:t>
            </w:r>
            <w:r w:rsidR="00560FCE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,</w:t>
            </w: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106</w:t>
            </w:r>
          </w:p>
        </w:tc>
        <w:tc>
          <w:tcPr>
            <w:tcW w:w="995" w:type="dxa"/>
            <w:shd w:val="clear" w:color="auto" w:fill="FFFF00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1.68</w:t>
            </w:r>
          </w:p>
        </w:tc>
        <w:tc>
          <w:tcPr>
            <w:tcW w:w="850" w:type="dxa"/>
            <w:shd w:val="clear" w:color="auto" w:fill="FFFF00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0.24</w:t>
            </w:r>
          </w:p>
        </w:tc>
        <w:tc>
          <w:tcPr>
            <w:tcW w:w="1134" w:type="dxa"/>
            <w:shd w:val="clear" w:color="auto" w:fill="FFFF00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19</w:t>
            </w:r>
          </w:p>
        </w:tc>
      </w:tr>
      <w:tr w:rsidR="00E424D4" w:rsidRPr="00E424D4" w:rsidTr="00BD34FB">
        <w:trPr>
          <w:trHeight w:val="28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Feb</w:t>
            </w:r>
            <w:r w:rsidR="00BD34FB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ruary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8.7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3</w:t>
            </w:r>
            <w:r w:rsidR="00560FCE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,</w:t>
            </w: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630</w:t>
            </w:r>
          </w:p>
        </w:tc>
        <w:tc>
          <w:tcPr>
            <w:tcW w:w="995" w:type="dxa"/>
            <w:shd w:val="clear" w:color="auto" w:fill="FFFF00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1.48</w:t>
            </w:r>
          </w:p>
        </w:tc>
        <w:tc>
          <w:tcPr>
            <w:tcW w:w="850" w:type="dxa"/>
            <w:shd w:val="clear" w:color="auto" w:fill="FFFF00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0.18</w:t>
            </w:r>
          </w:p>
        </w:tc>
        <w:tc>
          <w:tcPr>
            <w:tcW w:w="1134" w:type="dxa"/>
            <w:shd w:val="clear" w:color="auto" w:fill="FFFF00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color w:val="000000"/>
                <w:sz w:val="18"/>
                <w:szCs w:val="18"/>
                <w:lang w:eastAsia="en-GB"/>
              </w:rPr>
              <w:t>23</w:t>
            </w:r>
          </w:p>
        </w:tc>
      </w:tr>
      <w:tr w:rsidR="00E424D4" w:rsidRPr="00E424D4" w:rsidTr="00BD34FB">
        <w:trPr>
          <w:trHeight w:val="28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b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b/>
                <w:color w:val="000000"/>
                <w:sz w:val="18"/>
                <w:szCs w:val="18"/>
                <w:lang w:eastAsia="en-GB"/>
              </w:rPr>
              <w:t>Total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9.1</w:t>
            </w: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87</w:t>
            </w:r>
          </w:p>
        </w:tc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20</w:t>
            </w:r>
            <w:r w:rsidR="00560FCE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,</w:t>
            </w:r>
            <w:r w:rsidRPr="00E424D4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827</w:t>
            </w:r>
          </w:p>
        </w:tc>
        <w:tc>
          <w:tcPr>
            <w:tcW w:w="995" w:type="dxa"/>
            <w:shd w:val="clear" w:color="auto" w:fill="FFFF00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1.79</w:t>
            </w:r>
          </w:p>
        </w:tc>
        <w:tc>
          <w:tcPr>
            <w:tcW w:w="850" w:type="dxa"/>
            <w:shd w:val="clear" w:color="auto" w:fill="FFFF00"/>
            <w:noWrap/>
            <w:vAlign w:val="center"/>
            <w:hideMark/>
          </w:tcPr>
          <w:p w:rsidR="00E424D4" w:rsidRPr="00E424D4" w:rsidRDefault="00BD34FB" w:rsidP="00BD34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0.07</w:t>
            </w:r>
          </w:p>
        </w:tc>
        <w:tc>
          <w:tcPr>
            <w:tcW w:w="1134" w:type="dxa"/>
            <w:shd w:val="clear" w:color="auto" w:fill="FFFF00"/>
            <w:noWrap/>
            <w:vAlign w:val="center"/>
            <w:hideMark/>
          </w:tcPr>
          <w:p w:rsidR="00E424D4" w:rsidRPr="00E424D4" w:rsidRDefault="00E424D4" w:rsidP="00BD34FB">
            <w:pPr>
              <w:spacing w:after="0" w:line="240" w:lineRule="auto"/>
              <w:rPr>
                <w:rFonts w:eastAsia="Times New Roman"/>
                <w:b/>
                <w:color w:val="000000"/>
                <w:sz w:val="18"/>
                <w:szCs w:val="18"/>
                <w:lang w:eastAsia="en-GB"/>
              </w:rPr>
            </w:pPr>
            <w:r w:rsidRPr="00E424D4">
              <w:rPr>
                <w:rFonts w:eastAsia="Times New Roman"/>
                <w:b/>
                <w:color w:val="000000"/>
                <w:sz w:val="18"/>
                <w:szCs w:val="18"/>
                <w:lang w:eastAsia="en-GB"/>
              </w:rPr>
              <w:t>221</w:t>
            </w:r>
          </w:p>
        </w:tc>
      </w:tr>
    </w:tbl>
    <w:p w:rsidR="00A3776F" w:rsidRDefault="00A3776F" w:rsidP="00341EC9"/>
    <w:p w:rsidR="006251C2" w:rsidRDefault="006251C2" w:rsidP="00341EC9">
      <w:pPr>
        <w:rPr>
          <w:u w:val="single"/>
        </w:rPr>
      </w:pPr>
      <w:r w:rsidRPr="006251C2">
        <w:rPr>
          <w:u w:val="single"/>
        </w:rPr>
        <w:t>Discussion</w:t>
      </w:r>
    </w:p>
    <w:p w:rsidR="006251C2" w:rsidRPr="006251C2" w:rsidRDefault="006251C2" w:rsidP="006251C2">
      <w:r w:rsidRPr="006251C2">
        <w:t xml:space="preserve">Results from age assessments made at wintering sites in Britain suggest that the Dark-bellied Brent Geese had a below average breeding season in 2020:  the percentage young recorded amongst flocks (9.1%) was lower than the previous year (13.1% in 2019/20) and lower than the previous ten-year mean (2010/11–2019/20; 10.2% ± 2.28 SE). </w:t>
      </w:r>
      <w:r w:rsidRPr="006251C2">
        <w:rPr>
          <w:highlight w:val="yellow"/>
        </w:rPr>
        <w:t xml:space="preserve">The mean brood size of successful pairs during 2020/21 was also lower than the previous year </w:t>
      </w:r>
      <w:r w:rsidRPr="006251C2">
        <w:rPr>
          <w:highlight w:val="yellow"/>
        </w:rPr>
        <w:t>(2.26 in 2019/20)</w:t>
      </w:r>
      <w:r w:rsidRPr="006251C2">
        <w:rPr>
          <w:highlight w:val="yellow"/>
        </w:rPr>
        <w:t xml:space="preserve"> and the </w:t>
      </w:r>
      <w:r w:rsidRPr="006251C2">
        <w:rPr>
          <w:highlight w:val="yellow"/>
        </w:rPr>
        <w:t>previous ten-year mean (2010/11–2019/20;</w:t>
      </w:r>
      <w:r w:rsidRPr="006251C2">
        <w:rPr>
          <w:highlight w:val="yellow"/>
        </w:rPr>
        <w:t xml:space="preserve"> 2.17 </w:t>
      </w:r>
      <w:r w:rsidRPr="006251C2">
        <w:rPr>
          <w:highlight w:val="yellow"/>
        </w:rPr>
        <w:t>± 0.12 SE).</w:t>
      </w:r>
    </w:p>
    <w:p w:rsidR="006251C2" w:rsidRDefault="006251C2" w:rsidP="00341EC9">
      <w:bookmarkStart w:id="0" w:name="_GoBack"/>
      <w:bookmarkEnd w:id="0"/>
    </w:p>
    <w:sectPr w:rsidR="006251C2" w:rsidSect="00842BA5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AAD" w:rsidRDefault="00B74AAD" w:rsidP="00341EC9">
      <w:r>
        <w:separator/>
      </w:r>
    </w:p>
  </w:endnote>
  <w:endnote w:type="continuationSeparator" w:id="0">
    <w:p w:rsidR="00B74AAD" w:rsidRDefault="00B74AAD" w:rsidP="00341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AAD" w:rsidRDefault="00B74AAD" w:rsidP="00341EC9">
      <w:r>
        <w:separator/>
      </w:r>
    </w:p>
  </w:footnote>
  <w:footnote w:type="continuationSeparator" w:id="0">
    <w:p w:rsidR="00B74AAD" w:rsidRDefault="00B74AAD" w:rsidP="00341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76F" w:rsidRPr="00A3776F" w:rsidRDefault="00A3776F" w:rsidP="00341EC9">
    <w:pPr>
      <w:pStyle w:val="Header"/>
    </w:pPr>
    <w:r>
      <w:t xml:space="preserve">From WWT: </w:t>
    </w:r>
    <w:r w:rsidRPr="00A3776F">
      <w:t>1/6/2022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64"/>
    <w:rsid w:val="00045E0A"/>
    <w:rsid w:val="00341EC9"/>
    <w:rsid w:val="00560FCE"/>
    <w:rsid w:val="00581764"/>
    <w:rsid w:val="006251C2"/>
    <w:rsid w:val="007445A6"/>
    <w:rsid w:val="00831FF0"/>
    <w:rsid w:val="00842BA5"/>
    <w:rsid w:val="008A4BA4"/>
    <w:rsid w:val="00A3776F"/>
    <w:rsid w:val="00B74AAD"/>
    <w:rsid w:val="00BD34FB"/>
    <w:rsid w:val="00DE2856"/>
    <w:rsid w:val="00E424D4"/>
    <w:rsid w:val="00E76AE7"/>
    <w:rsid w:val="00F9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3B8FE9"/>
  <w15:chartTrackingRefBased/>
  <w15:docId w15:val="{20F27066-F36C-43F9-9BE5-47E56C56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EC9"/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7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764"/>
  </w:style>
  <w:style w:type="paragraph" w:styleId="Footer">
    <w:name w:val="footer"/>
    <w:basedOn w:val="Normal"/>
    <w:link w:val="FooterChar"/>
    <w:uiPriority w:val="99"/>
    <w:unhideWhenUsed/>
    <w:rsid w:val="005817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WWT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Colette Hall</dc:creator>
  <cp:keywords/>
  <dc:description/>
  <cp:lastModifiedBy>Colette Hall</cp:lastModifiedBy>
  <cp:revision>9</cp:revision>
  <dcterms:created xsi:type="dcterms:W3CDTF">2022-06-01T13:39:00Z</dcterms:created>
  <dcterms:modified xsi:type="dcterms:W3CDTF">2022-06-01T14:48:00Z</dcterms:modified>
</cp:coreProperties>
</file>